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УПРАВЛЕНИЕ ОБРАЗОВАНИЯ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АТКАРСКОГО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МУНИЦИПАЛЬНОЕ УЧРЕЖДЕНИЕ «</w:t>
      </w:r>
      <w:r>
        <w:rPr>
          <w:rFonts w:cs="Times New Roman"/>
          <w:sz w:val="24"/>
          <w:szCs w:val="24"/>
        </w:rPr>
        <w:t>ОРГАНИЗАЦИОННО-МЕТОДИЧЕСКИЙ</w:t>
        <w:br/>
        <w:t>ЦЕНТР УЧРЕЖДЕНИЙ ОБРАЗОВАНИЯ" АТКАРСКОГО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МУНИЦИПАЛЬНОЕ ОБЩЕОБРАЗОВАТЕЛЬНОЕ УЧРЕЖДЕНИЕ –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СРЕДНЯЯ ОБЩЕОБРАЗОВАТЕЛЬНАЯ ШКОЛА  №3 Г. АТКАРСКА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САРАТОВСКОЙ ОБЛАСТИ ИМЕНИ ГЕРОЯ СОВЕТСКОГО СОЮЗА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АНТОНОВА ВЛАДИМИРА СЕМЕНОВИЧА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shd w:val="clear" w:color="auto" w:fill="F2F2F2" w:themeFill="background1" w:themeFillShade="f2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/>
          <w:b/>
          <w:sz w:val="24"/>
          <w:szCs w:val="24"/>
          <w:lang w:val="en-US" w:eastAsia="ru-RU"/>
        </w:rPr>
        <w:t>I</w:t>
      </w:r>
      <w:r>
        <w:rPr>
          <w:rFonts w:eastAsia="Calibri" w:cs="Times New Roman"/>
          <w:b/>
          <w:sz w:val="24"/>
          <w:szCs w:val="24"/>
          <w:lang w:eastAsia="ru-RU"/>
        </w:rPr>
        <w:t xml:space="preserve"> МУНИЦИПАЛЬНАЯ НАУЧНО-ПРАКТИЧЕСКАЯ КОНФЕРЕНЦИЯ</w:t>
      </w:r>
    </w:p>
    <w:p>
      <w:pPr>
        <w:pStyle w:val="Normal"/>
        <w:shd w:val="clear" w:color="auto" w:fill="F2F2F2" w:themeFill="background1" w:themeFillShade="f2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/>
          <w:b/>
          <w:sz w:val="24"/>
          <w:szCs w:val="24"/>
          <w:lang w:eastAsia="ru-RU"/>
        </w:rPr>
        <w:t xml:space="preserve"> </w:t>
      </w:r>
      <w:r>
        <w:rPr>
          <w:rFonts w:eastAsia="Calibri" w:cs="Times New Roman"/>
          <w:b/>
          <w:sz w:val="24"/>
          <w:szCs w:val="24"/>
          <w:lang w:eastAsia="ru-RU"/>
        </w:rPr>
        <w:t xml:space="preserve">ПЕДАГОГИЧЕСКИХ  РАБОТНИКОВ </w:t>
      </w:r>
    </w:p>
    <w:p>
      <w:pPr>
        <w:pStyle w:val="Normal"/>
        <w:shd w:val="clear" w:color="auto" w:fill="F2F2F2" w:themeFill="background1" w:themeFillShade="f2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  <w:lang w:eastAsia="ru-RU"/>
        </w:rPr>
      </w:pPr>
      <w:r>
        <w:rPr>
          <w:rFonts w:eastAsia="Calibri" w:cs="Times New Roman"/>
          <w:b/>
          <w:sz w:val="24"/>
          <w:szCs w:val="24"/>
          <w:lang w:eastAsia="ru-RU"/>
        </w:rPr>
        <w:t>«</w:t>
      </w:r>
      <w:r>
        <w:rPr>
          <w:rFonts w:eastAsia="Calibri" w:cs="Times New Roman"/>
          <w:b/>
          <w:bCs/>
          <w:sz w:val="24"/>
          <w:szCs w:val="24"/>
          <w:lang w:eastAsia="ru-RU"/>
        </w:rPr>
        <w:t>ФОРМИРОВАНИЕ ФУНКЦИОНАЛЬНОЙ ГРАМОТНОСТИ ОБУЧАЮЩИХСЯ -</w:t>
      </w:r>
    </w:p>
    <w:p>
      <w:pPr>
        <w:pStyle w:val="Normal"/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  <w:lang w:eastAsia="ru-RU"/>
        </w:rPr>
        <w:t>ПУТЬ  К ВЫСОКИМ   ОБРАЗОВАТЕЛЬНЫМ  РЕЗУЛЬТАТАМ»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36"/>
        </w:rPr>
      </w:pPr>
      <w:r>
        <w:rPr>
          <w:sz w:val="36"/>
        </w:rPr>
      </w:r>
    </w:p>
    <w:p>
      <w:pPr>
        <w:pStyle w:val="Normal"/>
        <w:spacing w:lineRule="auto" w:line="240" w:before="0" w:after="0"/>
        <w:contextualSpacing/>
        <w:jc w:val="center"/>
        <w:rPr>
          <w:b/>
          <w:b/>
          <w:bCs/>
          <w:sz w:val="32"/>
          <w:szCs w:val="32"/>
        </w:rPr>
      </w:pPr>
      <w:r>
        <w:rPr>
          <w:rFonts w:eastAsia="Calibri" w:cs="Times New Roman" w:ascii="PT Astra Serif" w:hAnsi="PT Astra Serif"/>
          <w:b/>
          <w:bCs/>
          <w:sz w:val="32"/>
          <w:szCs w:val="32"/>
          <w:lang w:eastAsia="ru-RU"/>
        </w:rPr>
        <w:t>Математическая грамотность обучающихся: от формирования до оценивания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  <w:tab/>
      </w:r>
    </w:p>
    <w:tbl>
      <w:tblPr>
        <w:tblStyle w:val="a3"/>
        <w:tblW w:w="985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firstRow="1" w:lastRow="0" w:firstColumn="1" w:lastColumn="0"/>
      </w:tblPr>
      <w:tblGrid>
        <w:gridCol w:w="4927"/>
        <w:gridCol w:w="4927"/>
      </w:tblGrid>
      <w:tr>
        <w:trPr>
          <w:trHeight w:val="329" w:hRule="atLeast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Автор: </w:t>
            </w:r>
            <w:r>
              <w:rPr>
                <w:rFonts w:eastAsia="Calibri" w:cs="Times New Roman" w:ascii="PT Astra Serif" w:hAnsi="PT Astra Serif"/>
                <w:sz w:val="28"/>
                <w:szCs w:val="28"/>
                <w:lang w:eastAsia="ru-RU"/>
              </w:rPr>
              <w:t xml:space="preserve">Курочкина  Людмила Геннадьевна, учитель математики и физики </w:t>
            </w:r>
            <w:r>
              <w:rPr>
                <w:rFonts w:cs="Times New Roman"/>
                <w:sz w:val="28"/>
                <w:szCs w:val="28"/>
              </w:rPr>
              <w:t>МОУ-СОШ №</w:t>
            </w:r>
            <w:r>
              <w:rPr>
                <w:rFonts w:cs="Times New Roman"/>
                <w:sz w:val="28"/>
                <w:szCs w:val="28"/>
              </w:rPr>
              <w:t>8</w:t>
            </w:r>
            <w:r>
              <w:rPr>
                <w:rFonts w:cs="Times New Roman"/>
                <w:sz w:val="28"/>
                <w:szCs w:val="28"/>
              </w:rPr>
              <w:t xml:space="preserve"> г.  Аткарска</w:t>
            </w:r>
          </w:p>
          <w:p>
            <w:pPr>
              <w:pStyle w:val="Normal"/>
              <w:tabs>
                <w:tab w:val="clear" w:pos="708"/>
                <w:tab w:val="left" w:pos="208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eastAsia="Calibri" w:cs="Times New Roman" w:ascii="PT Astra Serif" w:hAnsi="PT Astra Serif"/>
                <w:b w:val="false"/>
                <w:bCs w:val="false"/>
                <w:sz w:val="28"/>
                <w:szCs w:val="28"/>
                <w:lang w:eastAsia="ru-RU"/>
              </w:rPr>
              <w:t>в с. Прокудино</w:t>
            </w:r>
          </w:p>
        </w:tc>
      </w:tr>
    </w:tbl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spacing w:lineRule="auto" w:line="240" w:before="0" w:after="0"/>
        <w:contextualSpacing/>
        <w:rPr>
          <w:rFonts w:ascii="PT Astra Serif" w:hAnsi="PT Astra Serif" w:eastAsia="Calibri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spacing w:lineRule="auto" w:line="240" w:before="0" w:after="0"/>
        <w:contextualSpacing/>
        <w:rPr>
          <w:rFonts w:ascii="PT Astra Serif" w:hAnsi="PT Astra Serif" w:eastAsia="Calibri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spacing w:lineRule="auto" w:line="240" w:before="0" w:after="0"/>
        <w:contextualSpacing/>
        <w:rPr>
          <w:rFonts w:ascii="PT Astra Serif" w:hAnsi="PT Astra Serif" w:eastAsia="Calibri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spacing w:lineRule="auto" w:line="240" w:before="0" w:after="0"/>
        <w:contextualSpacing/>
        <w:rPr>
          <w:rFonts w:ascii="PT Astra Serif" w:hAnsi="PT Astra Serif" w:eastAsia="Calibri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2085" w:leader="none"/>
        </w:tabs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2085" w:leader="none"/>
        </w:tabs>
        <w:spacing w:lineRule="auto" w: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г. Аткарск, 2024 г.</w:t>
      </w:r>
    </w:p>
    <w:p>
      <w:pPr>
        <w:pStyle w:val="Normal"/>
        <w:spacing w:lineRule="auto" w:line="360"/>
        <w:jc w:val="right"/>
        <w:rPr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360"/>
        <w:jc w:val="right"/>
        <w:rPr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360"/>
        <w:jc w:val="right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Детей надо учить тому,</w:t>
      </w:r>
    </w:p>
    <w:p>
      <w:pPr>
        <w:pStyle w:val="Normal"/>
        <w:spacing w:lineRule="auto" w:line="360"/>
        <w:jc w:val="right"/>
        <w:rPr>
          <w:rStyle w:val="C2"/>
          <w:b/>
          <w:b/>
          <w:bCs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что пригодится им, когда они вырастут.</w:t>
        <w:br/>
      </w:r>
      <w:r>
        <w:rPr>
          <w:rStyle w:val="Style14"/>
          <w:b/>
          <w:color w:val="000000"/>
          <w:sz w:val="28"/>
          <w:szCs w:val="28"/>
        </w:rPr>
        <w:t>Аристипп</w:t>
      </w:r>
    </w:p>
    <w:p>
      <w:pPr>
        <w:pStyle w:val="Normal"/>
        <w:ind w:left="708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Математика является одним из самых важных достижений культуры и цивилизации. Без нее развитие технологий и познание природы были бы немыслимыми вещами! Эта точная наука крайне важна не только для человечества в целом, но для интеллектуального совершенствование конкретного индивида. Ведь математика позволяет развить важные умственные качества. Она организует наше мышление и дает опыт применения самых разных умственных приемов: от парадоксальных утверждений до моделирования. Математический язык способствует формированию устойчивой связи между словесным, изобразительным и знаковым способом передачи информации. Умение считывать информацию, поданную разными способами, приобретает особое значение в эпоху информатизации, и роль математического образования в развитии способности оперировать любой системой представления информации становиться ключевой. </w:t>
      </w:r>
    </w:p>
    <w:p>
      <w:pPr>
        <w:pStyle w:val="Normal"/>
        <w:spacing w:lineRule="auto" w:line="36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fill="FFFFFF" w:val="clear"/>
        </w:rPr>
        <w:t>В Федеральном государственном образовательном стандарте обозначена необходимость и важность привести современное школьное образование в соответствие с потребностями времени, современного общества, которое отличается изменчивостью, многообразием существующих в нем связей, широким и неотъемлемым внедрением информационных технологий.</w:t>
      </w:r>
      <w:r>
        <w:rPr>
          <w:sz w:val="28"/>
          <w:szCs w:val="28"/>
        </w:rPr>
        <w:t xml:space="preserve"> Главным становится </w:t>
      </w:r>
      <w:r>
        <w:rPr>
          <w:b/>
          <w:i/>
          <w:sz w:val="28"/>
          <w:szCs w:val="28"/>
        </w:rPr>
        <w:t>функциональная грамотность</w:t>
      </w:r>
      <w:r>
        <w:rPr>
          <w:sz w:val="28"/>
          <w:szCs w:val="28"/>
        </w:rPr>
        <w:t xml:space="preserve">, так как это "способность человека решать стандартные жизненные задачи в различных сферах жизни и деятельности на основе прикладных знаний". Формируя функциональную грамотность обучающихся, мы решаем задачи стратегического развития Российской Федерации: </w:t>
      </w:r>
    </w:p>
    <w:p>
      <w:pPr>
        <w:pStyle w:val="Normal"/>
        <w:spacing w:lineRule="auto" w:line="36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усиление позиций Российской Федерации в глобальной конкуренции путем развития человеческого потенциала как основного фактора экономического развития; </w:t>
      </w:r>
    </w:p>
    <w:p>
      <w:pPr>
        <w:pStyle w:val="Normal"/>
        <w:spacing w:lineRule="auto" w:line="36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технологическое первенство на мировой арене, усиление роли инноваций в социально-экономическом развитии. </w:t>
      </w:r>
    </w:p>
    <w:p>
      <w:pPr>
        <w:pStyle w:val="Normal"/>
        <w:spacing w:lineRule="auto" w:line="36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Функциональная грамотность – основа жизненной и профессиональной успешности выпускников.</w:t>
      </w:r>
    </w:p>
    <w:p>
      <w:pPr>
        <w:pStyle w:val="Normal"/>
        <w:spacing w:lineRule="auto" w:line="36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Одним из ее видов является </w:t>
      </w:r>
      <w:r>
        <w:rPr>
          <w:b/>
          <w:i/>
          <w:sz w:val="28"/>
          <w:szCs w:val="28"/>
        </w:rPr>
        <w:t>математическая грамотность.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Математическая грамотность – это способность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Актуальность формирования математической грамотности заключается в том, что российские школьники обладают значительным объемом знаний (по результатам международных исследований PISA), но не умеют грамотно пользоваться этими знаниями в повседневной жизни.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Поэтому необходимо формировать и развивать математическую грамотность в условиях учебной и внеурочной деятельности. Перед учителями возникают следующая цель и задачи.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Цель: создание условий для достижения успешности школьников в процессе обучения и в будущей трудовой деятельности, умеющих использовать математические знания в различных сферах жизни.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предметные математические знания для создания теоретической базы.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математические знания для решения задач межпредметного и практико-ориентированного содержания.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читательскую, информационную, коммуникативную, социальную компетенции.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Развивать регулятивную сферу и рефлексию (учить планировать деятельность, конструировать алгоритмы, контролировать процесс и результат, выполнять проверку на соответствие исходным данным и правдоподобие, коррекцию и оценку результата деятельности).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первую очередь математическая грамотность формируется на уроках математики в начальной школе и 5-6 классах, на уроках алгебры и геометрии. Согласно обновленным ФГОС, с седьмого класса в школьное образование вводится курс «Вероятность и статистика», который тоже непосредственно связан с формированием математической грамотности. Однако сфера развития математической грамотности не ограничивается только этими предметам. При решении учебных задач различных предметных областей, в которых нужно выполнять расчеты, можно и нужно развивать данный вид функциональной грамотности.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Математическая грамотность способствует развитию у школьников следующих умений:</w:t>
      </w:r>
    </w:p>
    <w:p>
      <w:pPr>
        <w:pStyle w:val="Normal"/>
        <w:numPr>
          <w:ilvl w:val="0"/>
          <w:numId w:val="2"/>
        </w:numPr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умение выполнять математические расчеты для решения повседневных, практических задач;</w:t>
      </w:r>
    </w:p>
    <w:p>
      <w:pPr>
        <w:pStyle w:val="Normal"/>
        <w:numPr>
          <w:ilvl w:val="0"/>
          <w:numId w:val="2"/>
        </w:numPr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умение рассуждать, делать выводы на основе информации, представленной в различных формах (в таблицах, диаграммах, на графиках), широко используемых в средствах массовой информации.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математической грамотности - сложный, многосторонний, длительный процесс. Достичь нужных результатов можно лишь умело, грамотно сочетая различные современные образовательные технологии: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Технология критического мышления</w:t>
      </w:r>
      <w:r>
        <w:rPr>
          <w:sz w:val="28"/>
          <w:szCs w:val="28"/>
        </w:rPr>
        <w:t xml:space="preserve"> 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Технология проблемного обучения</w:t>
      </w:r>
      <w:r>
        <w:rPr>
          <w:sz w:val="28"/>
          <w:szCs w:val="28"/>
        </w:rPr>
        <w:t xml:space="preserve"> 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Проектная технология</w:t>
      </w:r>
      <w:r>
        <w:rPr>
          <w:sz w:val="28"/>
          <w:szCs w:val="28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360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Игровая технология</w:t>
      </w:r>
      <w:r>
        <w:rPr>
          <w:sz w:val="28"/>
          <w:szCs w:val="28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360"/>
        <w:rPr>
          <w:sz w:val="28"/>
          <w:szCs w:val="28"/>
        </w:rPr>
      </w:pPr>
      <w:r>
        <w:rPr>
          <w:b/>
          <w:bCs/>
          <w:sz w:val="28"/>
          <w:szCs w:val="28"/>
        </w:rPr>
        <w:t>Информационно-коммуникационная технология</w:t>
      </w:r>
      <w:r>
        <w:rPr>
          <w:sz w:val="28"/>
          <w:szCs w:val="28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360"/>
        <w:rPr>
          <w:sz w:val="28"/>
          <w:szCs w:val="28"/>
        </w:rPr>
      </w:pPr>
      <w:r>
        <w:rPr>
          <w:b/>
          <w:bCs/>
          <w:sz w:val="28"/>
          <w:szCs w:val="28"/>
        </w:rPr>
        <w:t>Здоровьесберегающая технология</w:t>
      </w:r>
      <w:r>
        <w:rPr>
          <w:sz w:val="28"/>
          <w:szCs w:val="28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360"/>
        <w:rPr>
          <w:sz w:val="28"/>
          <w:szCs w:val="28"/>
        </w:rPr>
      </w:pPr>
      <w:r>
        <w:rPr>
          <w:b/>
          <w:bCs/>
          <w:sz w:val="28"/>
          <w:szCs w:val="28"/>
        </w:rPr>
        <w:t>Личностно-ориентированная технология</w:t>
      </w:r>
      <w:r>
        <w:rPr>
          <w:sz w:val="28"/>
          <w:szCs w:val="28"/>
        </w:rPr>
        <w:t xml:space="preserve">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left="720" w:hanging="0"/>
        <w:rPr>
          <w:sz w:val="28"/>
          <w:szCs w:val="28"/>
        </w:rPr>
      </w:pPr>
      <w:r>
        <w:rPr>
          <w:sz w:val="28"/>
          <w:szCs w:val="28"/>
        </w:rPr>
        <w:t>Сегодня на первое место в мире выходит потребность быстро реагировать на все изменения, происходящие в жизни, умение самостоятельно находить информацию, анализировать ее и применять.</w:t>
      </w:r>
    </w:p>
    <w:p>
      <w:pPr>
        <w:pStyle w:val="Normal"/>
        <w:spacing w:lineRule="auto" w:line="360"/>
        <w:ind w:left="720" w:hanging="0"/>
        <w:rPr>
          <w:sz w:val="28"/>
          <w:szCs w:val="28"/>
        </w:rPr>
      </w:pPr>
      <w:r>
        <w:rPr>
          <w:sz w:val="28"/>
          <w:szCs w:val="28"/>
        </w:rPr>
        <w:t>Оценить качество образования школьников позволяют такие системы как:</w:t>
      </w:r>
    </w:p>
    <w:p>
      <w:pPr>
        <w:pStyle w:val="Normal"/>
        <w:spacing w:lineRule="auto" w:line="360"/>
        <w:ind w:left="720" w:hanging="0"/>
        <w:rPr>
          <w:sz w:val="28"/>
          <w:szCs w:val="28"/>
        </w:rPr>
      </w:pPr>
      <w:r>
        <w:rPr>
          <w:sz w:val="28"/>
          <w:szCs w:val="28"/>
        </w:rPr>
        <w:t xml:space="preserve">ГИА (Государственная итоговая аттестация в 9 и 11 классах), </w:t>
      </w:r>
    </w:p>
    <w:p>
      <w:pPr>
        <w:pStyle w:val="Normal"/>
        <w:spacing w:lineRule="auto" w:line="360"/>
        <w:ind w:left="720" w:hanging="0"/>
        <w:rPr>
          <w:sz w:val="28"/>
          <w:szCs w:val="28"/>
        </w:rPr>
      </w:pPr>
      <w:r>
        <w:rPr>
          <w:sz w:val="28"/>
          <w:szCs w:val="28"/>
        </w:rPr>
        <w:t xml:space="preserve">ВПР (Всероссийские проверочные работы),   </w:t>
      </w:r>
    </w:p>
    <w:p>
      <w:pPr>
        <w:pStyle w:val="Normal"/>
        <w:spacing w:lineRule="auto" w:line="360"/>
        <w:ind w:left="720" w:hanging="0"/>
        <w:rPr>
          <w:sz w:val="28"/>
          <w:szCs w:val="28"/>
        </w:rPr>
      </w:pPr>
      <w:r>
        <w:rPr>
          <w:sz w:val="28"/>
          <w:szCs w:val="28"/>
        </w:rPr>
        <w:t xml:space="preserve">НИКО (Национальные исследования качества образования). </w:t>
      </w:r>
    </w:p>
    <w:p>
      <w:pPr>
        <w:pStyle w:val="Normal"/>
        <w:spacing w:lineRule="auto" w:line="360"/>
        <w:ind w:left="720" w:hanging="0"/>
        <w:rPr>
          <w:sz w:val="28"/>
          <w:szCs w:val="28"/>
        </w:rPr>
      </w:pPr>
      <w:r>
        <w:rPr>
          <w:b/>
          <w:bCs/>
          <w:sz w:val="28"/>
          <w:szCs w:val="28"/>
        </w:rPr>
        <w:t>Пути повышения математической грамотности.</w:t>
      </w:r>
      <w:r>
        <w:rPr>
          <w:sz w:val="28"/>
          <w:szCs w:val="28"/>
        </w:rPr>
        <w:t xml:space="preserve"> </w:t>
      </w:r>
    </w:p>
    <w:p>
      <w:pPr>
        <w:pStyle w:val="Normal"/>
        <w:spacing w:lineRule="auto" w:line="360"/>
        <w:ind w:left="720" w:hanging="0"/>
        <w:rPr>
          <w:sz w:val="28"/>
          <w:szCs w:val="28"/>
        </w:rPr>
      </w:pPr>
      <w:r>
        <w:rPr>
          <w:sz w:val="28"/>
          <w:szCs w:val="28"/>
        </w:rPr>
        <w:t>В  5-6 классах начинается усвоение базисных основ математики, на этом этапе учат учащихся находить и извлекать математическую информацию в различном контексте, применять математические знания для решения разного рода проблем. Поэтому на данном этапе обучения на первом плане  должно  стоять  развитие математической грамотности учащихся. В дальнейшем это будет способствовать   глубокому и сознательному пониманию математики, как части общечеловеческой культуры.</w:t>
      </w:r>
    </w:p>
    <w:p>
      <w:pPr>
        <w:pStyle w:val="Normal"/>
        <w:spacing w:lineRule="auto" w:line="360"/>
        <w:ind w:left="720" w:hanging="0"/>
        <w:rPr>
          <w:sz w:val="28"/>
          <w:szCs w:val="28"/>
        </w:rPr>
      </w:pPr>
      <w:r>
        <w:rPr>
          <w:sz w:val="28"/>
          <w:szCs w:val="28"/>
        </w:rPr>
        <w:t>От  школьников  очень  можно услышать вопрос, а  зачем им  изучать математику, где она пригодится им в жизни?    Ответить на этот вопрос,  помогут задачи прикладного характера,  они  показывают  ученикам,  как связана их будущая профессия с математикой, знание каких формул пригодится в повседневной жизни.</w:t>
      </w:r>
    </w:p>
    <w:p>
      <w:pPr>
        <w:pStyle w:val="Normal"/>
        <w:spacing w:lineRule="auto" w:line="36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для учащихся по формированию функциональной грамотности.</w:t>
      </w:r>
    </w:p>
    <w:p>
      <w:pPr>
        <w:pStyle w:val="ListParagraph"/>
        <w:numPr>
          <w:ilvl w:val="0"/>
          <w:numId w:val="5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Стоимость автомобиля “Рено-Логан” составляет 600 000 рублей. В соответствии с условиями кредитования, при его покупке покупатель выплачивает половину стоимости, а второю половину можно выплатить в течении двух лет равными  частями. При этом банку необходимо  заплатить только одноразовую комиссию в сумме 2,5% от суммы кредита. Также необходимо обязательно застраховать автомобиль, стоимость страховки составляет 5% от стоимости автомобиля. Какую общую сумму за автомобиль необходимо уплатить? Сколько денег ежемесячно необходимо выплачивать банку?</w:t>
      </w:r>
    </w:p>
    <w:p>
      <w:pPr>
        <w:pStyle w:val="ListParagraph"/>
        <w:numPr>
          <w:ilvl w:val="0"/>
          <w:numId w:val="5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Деньги в сумме 140000 рублей, собранные во время благотворительного концерта были распределены следующим образом: 45% отправили в детский дом, 42,5% - в дом инвалидов, а на остальные деньги купили для музыкальной школы духовые инструменты. Сколько стоят духовые инструменты?</w:t>
      </w:r>
    </w:p>
    <w:p>
      <w:pPr>
        <w:pStyle w:val="ListParagraph"/>
        <w:numPr>
          <w:ilvl w:val="0"/>
          <w:numId w:val="5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Мужчина и его дочь идут навстречу друг к другу, а собака Жучка бегает от одного к другому, пробегая 300 метров в минуту. Какое расстояние пробежит собака, если скорость мужчины 4 км/ч, скорость его дочери 3 км/ч, а встретились они через 3 минуты после того как Жучка начала бегать?</w:t>
      </w:r>
    </w:p>
    <w:p>
      <w:pPr>
        <w:pStyle w:val="ListParagraph"/>
        <w:numPr>
          <w:ilvl w:val="0"/>
          <w:numId w:val="5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Пильщики распиливают бревно на метровые части. Длина бревна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- 5 метров. Один распил занимает полторы минуты. Сколько минут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потребуется, чтобы распилить все бревно?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A) 4 минут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B) 7 минут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C) 6 минут</w:t>
      </w:r>
    </w:p>
    <w:p>
      <w:pPr>
        <w:pStyle w:val="Normal"/>
        <w:spacing w:lineRule="auto" w:line="360"/>
        <w:ind w:left="360" w:firstLine="348"/>
        <w:rPr>
          <w:sz w:val="28"/>
          <w:szCs w:val="28"/>
        </w:rPr>
      </w:pPr>
      <w:r>
        <w:rPr>
          <w:sz w:val="28"/>
          <w:szCs w:val="28"/>
        </w:rPr>
        <w:t>D) 8 минут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E) 5 минут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5. По периметру школьной ограды посажены деревья. Маша и Зейнеп считают их, двигаясь навстречу друг другу, но начинают счет от разных деревьев. Поэтому дерево, которое Маша посчитала 12, Зейнеп посчитала 42. А то дерево, которое у Маши было первым, у Зейнеп было седьмым. Сколько всего деревьев?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A) 49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B) 54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C) 43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D) 46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E) 52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6.В семье трое детей – два мальчика и одна девочка. Их имена начинаются с букв А, В и Г. Среди имен, начинающихся с букв А и В, есть имя одного мальчика. Среди имен, начинающихся с букв В и Г, также есть имя одного мальчика. С какой буквы начинается имя девочки? (Найдите правильный ответ)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A) Имя девочки начинается с буквы А или Г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B) Имя девочки не начинается с буквы В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C) Имя девочки начинается с буквы А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D) Имя девочки начинается с буквы В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E) Имя девочки начинается с буквы Г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7.  Курс воздушных ванн начинают с 15 минут в первый день и увеличивают время этой процедуры в каждый следующий день на 10 минут. Сколько дней следует принимать воздушные ванны в указанном режиме, чтобы достичь их максимальной продолжительности 1ч 45 мин?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8. Человек, заболевший гриппом, может заразить четырех человек. Через сколько дней заболеет все население посёлка в количестве 341 человека? </w:t>
        <w:br/>
        <w:t xml:space="preserve"> 9. Больной принимает лекарство по следующей схеме: в первый день он принимает 5 капель, а в каждый следующий день — на 5 капель больше, чем в предыдущий. Приняв 40 капель, он 3 дня пьет по 40 капель лекарства, а потом ежедневно уменьшает прием на 5 капель, доведя его до 5 капель. Сколько пузырьков лекарства нужно купить больному, если в каждом содержится 20 мл лекарства (что составляет 250 капель)?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Банк заданий для оценки функциональной грамотности обучающихся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Банк заданий для формирования и оценки функциональной грамотности обучающихся основной школы (5-9 классы) представлен по шести направлениям: математическая грамотность, естественнонаучная грамотность, читательская грамотность, финансовая грамотность, глобальные компетенции и креативное мышление.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В материалах по каждому направлению функциональной грамотности содержатся файлы со списком открытых заданий, которые разработаны в ходе проекта, сами задания, характеристики заданий и система оценивания, а также методические комментарии к заданиям.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PISA: математическая грамотность.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2">
        <w:r>
          <w:rPr>
            <w:sz w:val="28"/>
            <w:szCs w:val="28"/>
          </w:rPr>
          <w:t>https://rikc.by/ru/PISA/2-ex__pisa.pdf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Институт стратегии развития образования. Банк заданий. Естественнонаучная грамотность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3">
        <w:r>
          <w:rPr>
            <w:sz w:val="28"/>
            <w:szCs w:val="28"/>
          </w:rPr>
          <w:t>http://skiv.instrao.ru/bank-zadaniy/matematicheskaya-gramotnost/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Банк заданий PISA (математическая грамотность)</w:t>
      </w:r>
      <w:r>
        <w:rPr>
          <w:b/>
          <w:bCs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4">
        <w:r>
          <w:rPr>
            <w:sz w:val="28"/>
            <w:szCs w:val="28"/>
          </w:rPr>
          <w:t>https://clck.ru/TeXmB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Сборник заданий по формированию функциональной грамотности учащихся на уроках математики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5">
        <w:r>
          <w:rPr>
            <w:sz w:val="28"/>
            <w:szCs w:val="28"/>
          </w:rPr>
          <w:t>https://clck.ru/RrBVE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Сборник тестов по математической грамотности для учащихся 5-11 классов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6">
        <w:r>
          <w:rPr>
            <w:sz w:val="28"/>
            <w:szCs w:val="28"/>
          </w:rPr>
          <w:t>https://clck.ru/TeVxQ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Математическая грамотность Сборник тестовых заданий по математике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(6-7 классы)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7">
        <w:r>
          <w:rPr>
            <w:sz w:val="28"/>
            <w:szCs w:val="28"/>
          </w:rPr>
          <w:t>https://goo.su/4KQh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Математическая грамотность. Банк заданий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8">
        <w:r>
          <w:rPr>
            <w:sz w:val="28"/>
            <w:szCs w:val="28"/>
          </w:rPr>
          <w:t>https://clck.ru/SGLHf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Электронный банк заданий функциональной грамотности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9">
        <w:r>
          <w:rPr>
            <w:sz w:val="28"/>
            <w:szCs w:val="28"/>
          </w:rPr>
          <w:t>https://fg.resh.edu.ru/functionalliteracy/events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Банк заданий по функциональной грамотности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10">
        <w:r>
          <w:rPr>
            <w:sz w:val="28"/>
            <w:szCs w:val="28"/>
          </w:rPr>
          <w:t>https://media.prosv.ru/fg/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Диагностическая работа для учащихся 5 классов математическая грамотность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11">
        <w:r>
          <w:rPr>
            <w:sz w:val="28"/>
            <w:szCs w:val="28"/>
          </w:rPr>
          <w:t>https://100balnik.ru.com/wp-content/uploads/2019/09/МА_5_2019_демоверсия.pdf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Диагностическая работа для учащихся 7 классов математическая грамотность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12">
        <w:r>
          <w:rPr>
            <w:sz w:val="28"/>
            <w:szCs w:val="28"/>
          </w:rPr>
          <w:t>https://100balnik.ru.com/wp-content/uploads/2019/09/МА_7_2019_демоверсия.pdf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13">
        <w:r>
          <w:rPr>
            <w:sz w:val="28"/>
            <w:szCs w:val="28"/>
          </w:rPr>
          <w:t>http://center-imc.ru/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Математическая грамотность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14">
        <w:r>
          <w:rPr>
            <w:sz w:val="28"/>
            <w:szCs w:val="28"/>
          </w:rPr>
          <w:t>http://testuser7.narod.ru/School3/Ahmetova1.pdf</w:t>
        </w:r>
      </w:hyperlink>
      <w:r>
        <w:rPr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Тесты по математике для подготовке к PISA</w:t>
      </w:r>
      <w:r>
        <w:rPr>
          <w:b/>
          <w:bCs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6"/>
        </w:numPr>
        <w:spacing w:lineRule="auto" w:line="360"/>
        <w:rPr>
          <w:sz w:val="28"/>
          <w:szCs w:val="28"/>
        </w:rPr>
      </w:pPr>
      <w:hyperlink r:id="rId15">
        <w:r>
          <w:rPr>
            <w:sz w:val="28"/>
            <w:szCs w:val="28"/>
          </w:rPr>
          <w:t>https://kopilkaurokov.ru/matematika/testi/tiesty-po-matiematikie-dlia-podghotovkie-k-pisa</w:t>
        </w:r>
      </w:hyperlink>
      <w:r>
        <w:rPr>
          <w:sz w:val="28"/>
          <w:szCs w:val="28"/>
        </w:rPr>
        <w:t xml:space="preserve"> </w:t>
      </w:r>
    </w:p>
    <w:p>
      <w:pPr>
        <w:pStyle w:val="Normal"/>
        <w:spacing w:lineRule="auto" w:line="360"/>
        <w:ind w:left="360" w:hanging="0"/>
        <w:rPr>
          <w:sz w:val="28"/>
          <w:szCs w:val="28"/>
        </w:rPr>
      </w:pPr>
      <w:r>
        <w:rPr>
          <w:sz w:val="28"/>
          <w:szCs w:val="28"/>
        </w:rPr>
        <w:t>Все эти задания направлены на развитие математической и естественнонаучной грамотности, которое предполагает способность учащихся использовать знания, приобретенные ими за время обучения в школе, для решения разнообразных задач межпредметного и практико-ориентированного содержания, для дальнейшего обучения и успешной социализации в обществе.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На своих уроках для повышения мотивации учащихся и формирования математической грамотности я достаточно часто использую задания из разных источников, в том числе и конкурсные задачи по математике, при решении которых основное внимание уделяется формированию способностей учащихся использовать математические знания в разнообразных ситуациях, требующих для своего решения различных подходов, размышлений и интуиции.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Формирование математической грамотности в малокомплектных сельских школах требует использования разнообразных подходов и инструментов. Представленные в данной работе задачи и использование цифровых инструментов могут помочь учителям эффективно развивать математическую грамотность у своих обучающихся. Оценивание математической грамотности на регулярной основе позволяет отслеживать прогресс обучающихся и вносить коррективы в процесс обучения, обеспечивая успешное формирование этого важного компонента функциональной грамотности.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  <w:r>
        <w:rPr>
          <w:sz w:val="28"/>
          <w:szCs w:val="28"/>
        </w:rPr>
        <w:t xml:space="preserve"> 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1.Филатова, М. Н. Внеурочная деятельность учащихся как средство достижения личностных и метапредметных результатов в условиях реализации ФГОС / М. Н. Филатова. — Текст : непосредственный // Молодой ученый. — 2015. — № 16 (96). — С. 430-434. — URL: https://moluch.ru/archive/96/21584/ (дата обращения: 08.10.2020). 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2.Образовательная система «Школа 2100». Педагогика здравого смысла / под ред. А. А. Леонтьева. М.: Баласс, 2003.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3.Cимонова О. В. Формирование функциональной грамотности при обучении математике в 5–6-х классах общеобразовательной школы // Вестник Вятского государственного гуманитарного университета – 2010. – № 3. – С. 147–153.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4.Басюк В. С., Ковалева Г. С. Инновационный проект Министерства просвещения «Мониторинг формирования функциональной грамотности»: основные направления и первые результаты // Отечественная и зарубежная педагогика. 2019. Т. 1, № 4 (61). С. 13–33.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5.Рослова Л. О., Краснянская К. А., Квитко Е. С. Концептуальные основы формирования и оценки математической грамотности // Отечественная и зарубежная педагогика. 2019. Т. 1, № 4 (61). С. 58–79.</w:t>
      </w:r>
    </w:p>
    <w:p>
      <w:pPr>
        <w:pStyle w:val="ListParagraph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Wingdings 3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cs="Wingdings 3" w:hint="default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cs="Wingdings 3" w:hint="default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cs="Wingdings 3" w:hint="default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cs="Wingdings 3" w:hint="default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cs="Wingdings 3" w:hint="default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cs="Wingdings 3" w:hint="default"/>
      </w:rPr>
    </w:lvl>
  </w:abstractNum>
  <w:abstractNum w:abstractNumId="4"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cs="Wingdings 3" w:hint="default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cs="Wingdings 3" w:hint="default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cs="Wingdings 3" w:hint="default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cs="Wingdings 3" w:hint="default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cs="Wingdings 3" w:hint="default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cs="Wingdings 3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cs="Wingdings 3" w:hint="default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cs="Wingdings 3" w:hint="default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cs="Wingdings 3" w:hint="default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cs="Wingdings 3" w:hint="default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cs="Wingdings 3" w:hint="default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cs="Wingdings 3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f011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2" w:customStyle="1">
    <w:name w:val="c2"/>
    <w:qFormat/>
    <w:rsid w:val="00fb71e2"/>
    <w:rPr/>
  </w:style>
  <w:style w:type="character" w:styleId="Style14">
    <w:name w:val="Выделение"/>
    <w:uiPriority w:val="20"/>
    <w:qFormat/>
    <w:rsid w:val="00fb71e2"/>
    <w:rPr>
      <w:i/>
      <w:iCs/>
    </w:rPr>
  </w:style>
  <w:style w:type="character" w:styleId="Style15">
    <w:name w:val="Интернет-ссылка"/>
    <w:basedOn w:val="DefaultParagraphFont"/>
    <w:uiPriority w:val="99"/>
    <w:unhideWhenUsed/>
    <w:rsid w:val="00c91230"/>
    <w:rPr>
      <w:color w:val="0000FF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qFormat/>
    <w:rsid w:val="00ff011b"/>
    <w:pPr>
      <w:spacing w:beforeAutospacing="1" w:afterAutospacing="1"/>
    </w:pPr>
    <w:rPr/>
  </w:style>
  <w:style w:type="paragraph" w:styleId="1" w:customStyle="1">
    <w:name w:val="Знак1"/>
    <w:basedOn w:val="Normal"/>
    <w:qFormat/>
    <w:rsid w:val="00ff011b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87ae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ikc.by/ru/PISA/2-ex__pisa.pdf" TargetMode="External"/><Relationship Id="rId3" Type="http://schemas.openxmlformats.org/officeDocument/2006/relationships/hyperlink" Target="http://skiv.instrao.ru/bank-zadaniy/matematicheskaya-gramotnost/" TargetMode="External"/><Relationship Id="rId4" Type="http://schemas.openxmlformats.org/officeDocument/2006/relationships/hyperlink" Target="https://clck.ru/TeXmB" TargetMode="External"/><Relationship Id="rId5" Type="http://schemas.openxmlformats.org/officeDocument/2006/relationships/hyperlink" Target="https://clck.ru/RrBVE" TargetMode="External"/><Relationship Id="rId6" Type="http://schemas.openxmlformats.org/officeDocument/2006/relationships/hyperlink" Target="https://clck.ru/TeVxQ" TargetMode="External"/><Relationship Id="rId7" Type="http://schemas.openxmlformats.org/officeDocument/2006/relationships/hyperlink" Target="https://goo.su/4KQh" TargetMode="External"/><Relationship Id="rId8" Type="http://schemas.openxmlformats.org/officeDocument/2006/relationships/hyperlink" Target="https://clck.ru/SGLHf" TargetMode="External"/><Relationship Id="rId9" Type="http://schemas.openxmlformats.org/officeDocument/2006/relationships/hyperlink" Target="https://fg.resh.edu.ru/functionalliteracy/events" TargetMode="External"/><Relationship Id="rId10" Type="http://schemas.openxmlformats.org/officeDocument/2006/relationships/hyperlink" Target="https://media.prosv.ru/fg/" TargetMode="External"/><Relationship Id="rId11" Type="http://schemas.openxmlformats.org/officeDocument/2006/relationships/hyperlink" Target="https://100balnik.ru.com/wp-content/uploads/2019/09/&#1052;&#1040;_5_2019_&#1076;&#1077;&#1084;&#1086;&#1074;&#1077;&#1088;&#1089;&#1080;&#1103;.pdf" TargetMode="External"/><Relationship Id="rId12" Type="http://schemas.openxmlformats.org/officeDocument/2006/relationships/hyperlink" Target="https://100balnik.ru.com/wp-content/uploads/2019/09/&#1052;&#1040;_7_2019_&#1076;&#1077;&#1084;&#1086;&#1074;&#1077;&#1088;&#1089;&#1080;&#1103;.pdf" TargetMode="External"/><Relationship Id="rId13" Type="http://schemas.openxmlformats.org/officeDocument/2006/relationships/hyperlink" Target="http://center-imc.ru/" TargetMode="External"/><Relationship Id="rId14" Type="http://schemas.openxmlformats.org/officeDocument/2006/relationships/hyperlink" Target="http://testuser7.narod.ru/School3/Ahmetova1.pdf" TargetMode="External"/><Relationship Id="rId15" Type="http://schemas.openxmlformats.org/officeDocument/2006/relationships/hyperlink" Target="https://kopilkaurokov.ru/matematika/testi/tiesty-po-matiematikie-dlia-podghotovkie-k-pisa" TargetMode="Externa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LibreOffice/6.4.6.2$Linux_X86_64 LibreOffice_project/40$Build-2</Application>
  <Pages>11</Pages>
  <Words>1752</Words>
  <Characters>12516</Characters>
  <CharactersWithSpaces>14201</CharactersWithSpaces>
  <Paragraphs>120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2024-11-10T13:57:00Z</dcterms:created>
  <dc:creator>m</dc:creator>
  <dc:description/>
  <dc:language>ru-RU</dc:language>
  <cp:lastModifiedBy/>
  <dcterms:modified xsi:type="dcterms:W3CDTF">2024-11-20T16:20:23Z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