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gif" ContentType="image/gif"/>
  <Override PartName="/word/media/image2.gif" ContentType="image/gi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УПРАВЛЕНИЕ ОБРАЗОВАНИЯ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МУНИЦИПАЛЬНОЕ УЧРЕЖДЕНИЕ «</w:t>
      </w:r>
      <w:r>
        <w:rPr>
          <w:rFonts w:cs="Times New Roman" w:ascii="Times New Roman" w:hAnsi="Times New Roman"/>
          <w:sz w:val="24"/>
          <w:szCs w:val="24"/>
        </w:rPr>
        <w:t>ОРГАНИЗАЦИОННО-МЕТОДИЧЕСКИЙ</w:t>
        <w:br/>
        <w:t>ЦЕНТР УЧРЕЖДЕНИЙ ОБРАЗОВАНИЯ" 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МУНИЦИПАЛЬНОЕ ОБЩЕОБРАЗОВАТЕЛЬНОЕ УЧРЕЖДЕНИЕ –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СРЕДНЯЯ ОБЩЕОБРАЗОВАТЕЛЬНАЯ ШКОЛА  №3 Г. АТКАРСКА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САРАТОВСКОЙ ОБЛАСТИ ИМЕНИ ГЕРОЯ СОВЕТСКОГО СОЮЗА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АНТОНОВА ВЛАДИМИРА СЕМЕНОВИЧА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 w:eastAsia="ru-RU"/>
        </w:rPr>
        <w:t>I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 xml:space="preserve">ПЕДАГОГИЧЕСКИХ  РАБОТНИКОВ 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>«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eastAsia="ru-RU"/>
        </w:rPr>
        <w:t>ФОРМИРОВАНИЕ ФУНКЦИОНАЛЬНОЙ ГРАМОТНОСТИ ОБУЧАЮЩИХСЯ -</w:t>
      </w:r>
    </w:p>
    <w:p>
      <w:pPr>
        <w:pStyle w:val="Normal"/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ru-RU"/>
        </w:rPr>
        <w:t>ПУТЬ  К ВЫСОКИМ   ОБРАЗОВАТЕЛЬНЫМ  РЕЗУЛЬТАТАМ»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36"/>
        </w:rPr>
      </w:pPr>
      <w:r>
        <w:rPr>
          <w:sz w:val="3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firstLine="709"/>
        <w:jc w:val="center"/>
        <w:outlineLvl w:val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Формирование математической </w:t>
      </w:r>
      <w:r>
        <w:rPr>
          <w:rFonts w:eastAsia="Times New Roman" w:cs="Times New Roman" w:ascii="Times New Roman" w:hAnsi="Times New Roman"/>
          <w:b/>
          <w:bCs/>
          <w:color w:val="212529"/>
          <w:sz w:val="28"/>
          <w:szCs w:val="28"/>
          <w:lang w:eastAsia="ru-RU"/>
        </w:rPr>
        <w:t>грамотности обучающихся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center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на уроках и во внеурочной деятельности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  <w:tab/>
      </w:r>
    </w:p>
    <w:tbl>
      <w:tblPr>
        <w:tblStyle w:val="a3"/>
        <w:tblW w:w="9855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4927"/>
        <w:gridCol w:w="4927"/>
      </w:tblGrid>
      <w:tr>
        <w:trPr>
          <w:trHeight w:val="329" w:hRule="atLeas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Автор: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Евланова Нина Григорьевна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,   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учитель математики высшей квалификационной категории 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МОУ-СОШ №3 г.  Аткарска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  <w:bookmarkStart w:id="0" w:name="_GoBack1"/>
      <w:bookmarkStart w:id="1" w:name="_GoBack1"/>
      <w:bookmarkEnd w:id="1"/>
    </w:p>
    <w:p>
      <w:pPr>
        <w:pStyle w:val="Normal"/>
        <w:numPr>
          <w:ilvl w:val="0"/>
          <w:numId w:val="0"/>
        </w:numPr>
        <w:shd w:val="clear" w:color="auto" w:fill="FFFFFF"/>
        <w:tabs>
          <w:tab w:val="clear" w:pos="708"/>
          <w:tab w:val="left" w:pos="2085" w:leader="none"/>
        </w:tabs>
        <w:spacing w:lineRule="auto" w:line="360" w:before="0" w:after="0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212529"/>
          <w:sz w:val="24"/>
          <w:szCs w:val="24"/>
          <w:lang w:eastAsia="ru-RU"/>
        </w:rPr>
        <w:t>г. Аткарск, 2024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firstLine="709"/>
        <w:jc w:val="center"/>
        <w:outlineLvl w:val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firstLine="709"/>
        <w:jc w:val="center"/>
        <w:outlineLvl w:val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Добрый день,</w:t>
      </w:r>
      <w:r>
        <w:rPr>
          <w:rFonts w:eastAsia="Times New Roman" w:cs="Times New Roman" w:ascii="Times New Roman" w:hAnsi="Times New Roman"/>
          <w:b/>
          <w:bCs/>
          <w:color w:val="212529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 xml:space="preserve">уважаемые коллеги! </w:t>
      </w:r>
      <w:r>
        <w:rPr>
          <w:rFonts w:cs="Times New Roman" w:ascii="Times New Roman" w:hAnsi="Times New Roman"/>
          <w:sz w:val="28"/>
          <w:szCs w:val="28"/>
        </w:rPr>
        <w:t>Я поделюсь с Вами моими средствами, методами и приемами формирования математической грамотности на уроках математики.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Я надеюсь, что мое выступление поможет вам внедрять в свою   деятельность те формы и методы, о которых пойдет речь.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Мы вместе сделаем необходимые шаги к пониманию того, что нужно для реализации направления по формированию функциональной грамотности в условиях образовательного учреждения.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8"/>
          <w:szCs w:val="28"/>
          <w:lang w:eastAsia="ru-RU"/>
        </w:rPr>
        <w:t>Математическая грамотность – это способность человека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8"/>
          <w:szCs w:val="28"/>
          <w:lang w:eastAsia="ru-RU"/>
        </w:rPr>
        <w:t xml:space="preserve">     </w:t>
      </w:r>
      <w:r>
        <w:rPr>
          <w:rFonts w:eastAsia="Times New Roman" w:cs="Times New Roman" w:ascii="Times New Roman" w:hAnsi="Times New Roman"/>
          <w:color w:val="181818"/>
          <w:sz w:val="28"/>
          <w:szCs w:val="28"/>
          <w:lang w:eastAsia="ru-RU"/>
        </w:rPr>
        <w:t>Математическая грамотность – способность человека определять и понимать роль математики в мире, в котором он живет, высказывать хорошо обоснованные математические суждения и использовать математику так, чтобы удовлетворять в настоящем и будущем потребности, присущие созидательному, заинтересованному и мыслящему человеку.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Вообще в принципе, все математические задачи, вся математическая теория родилась из чисто практических нужд людей. Все математические знания, которые ученик получает в школе, должны стать фундаментом для его успешного в дальнейшем развитием в жизни.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Формирование математической грамотности –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Для этого используются такие образовательные технологии, как проблемное обучение, развивающее обучение, активное (контекстное) обучение, игровое обучение, исследовательское обучение.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Развивать математическую грамотность надо постепенно, начиная с 5 класса. Регулярно включать в ход урока задания на «изменение и зависимости», «пространство и форма», «неопределенность», «количественные рассуждения» и т.п.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 уроках и во внеурочное время использую следующие методы и приемы: наглядные проблемно-поисковые, опорные схемы, словесные методы, практические, игровые приемы, самостоятельные работы по уровням.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Задания на формирование математической грамотности включаю: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как игровой момент на уроке;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как проблемный элемент в начале урока;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как задание для смены деятельности на уроке;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как модель реальной жизненной ситуации, иллюстрирующей необходимость изучения какого либо понятия на уроке;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как задание – «толчок» к созданию гипотезы для исследовательского проекта.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Для работы мне помогают различные разно-уровневые задания, тесты, карточки.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Математическая грамотность ученика – это в первую очередь хорошо сформированные вычислительные навыки и навыки устного счета. Работая над развитием вычислительных навыков, применяю технологию развития вычислительных навыков. На своих уроках 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уделяю 5-7 минут на тренировочные упражнения в устных вычислениях, без этого трудно добиться правильности и беглости устных вычислений.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В устных же вычислениях нет готового шаблона, приемы вычислений здесь разнообразны, а поэтому мысль учащихся работает при устных вычислениях интенсивно и творчески.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 Устные упражнения это одно из средств формирования математической грамотности.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Такие упражнения предлагаю на различных этапах урока.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Например. В начале урока, вычисление по цепочке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Большое место на разных этапах урока отвожу работе над математическими терминами.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Например, в виде таблицы.</w:t>
      </w:r>
    </w:p>
    <w:tbl>
      <w:tblPr>
        <w:tblW w:w="4678" w:type="dxa"/>
        <w:jc w:val="left"/>
        <w:tblInd w:w="0" w:type="dxa"/>
        <w:tblCellMar>
          <w:top w:w="0" w:type="dxa"/>
          <w:left w:w="108" w:type="dxa"/>
          <w:bottom w:w="0" w:type="dxa"/>
          <w:right w:w="0" w:type="dxa"/>
        </w:tblCellMar>
        <w:tblLook w:val="04a0" w:noVBand="1" w:noHBand="0" w:lastColumn="0" w:firstColumn="1" w:lastRow="0" w:firstRow="1"/>
      </w:tblPr>
      <w:tblGrid>
        <w:gridCol w:w="1364"/>
        <w:gridCol w:w="458"/>
        <w:gridCol w:w="458"/>
        <w:gridCol w:w="458"/>
        <w:gridCol w:w="458"/>
        <w:gridCol w:w="457"/>
        <w:gridCol w:w="459"/>
        <w:gridCol w:w="565"/>
      </w:tblGrid>
      <w:tr>
        <w:trPr/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Слагаемое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Слагаемое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3,7</w:t>
            </w:r>
          </w:p>
        </w:tc>
      </w:tr>
      <w:tr>
        <w:trPr/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</w:tbl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</w:r>
    </w:p>
    <w:tbl>
      <w:tblPr>
        <w:tblW w:w="4681" w:type="dxa"/>
        <w:jc w:val="left"/>
        <w:tblInd w:w="0" w:type="dxa"/>
        <w:tblCellMar>
          <w:top w:w="0" w:type="dxa"/>
          <w:left w:w="108" w:type="dxa"/>
          <w:bottom w:w="0" w:type="dxa"/>
          <w:right w:w="0" w:type="dxa"/>
        </w:tblCellMar>
        <w:tblLook w:val="04a0" w:noVBand="1" w:noHBand="0" w:lastColumn="0" w:firstColumn="1" w:lastRow="0" w:firstRow="1"/>
      </w:tblPr>
      <w:tblGrid>
        <w:gridCol w:w="1226"/>
        <w:gridCol w:w="599"/>
        <w:gridCol w:w="457"/>
        <w:gridCol w:w="459"/>
        <w:gridCol w:w="457"/>
        <w:gridCol w:w="459"/>
        <w:gridCol w:w="458"/>
        <w:gridCol w:w="565"/>
      </w:tblGrid>
      <w:tr>
        <w:trPr/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Делимое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Делитель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>
        <w:trPr/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Частное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</w:tr>
    </w:tbl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Такие таблицы помогают понимать математическую речь и лучше ориентироваться в терминах. При выполнении таких заданий идет подготовка к решению уравнений.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Например, при изучении обыкновенных дробей, для отработки навыков, предлагаю такую задачу, через элемент игры: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- На нашем пути стоит указатель: “&lt;”- назад (тему не усвоили, нужно еще решать, “</w:t>
      </w:r>
      <w:r>
        <w:rPr>
          <w:rFonts w:eastAsia="Times New Roman" w:cs="Times New Roman" w:ascii="Times New Roman" w:hAnsi="Times New Roman"/>
          <w:b/>
          <w:bCs/>
          <w:color w:val="212529"/>
          <w:sz w:val="28"/>
          <w:szCs w:val="28"/>
          <w:lang w:eastAsia="ru-RU"/>
        </w:rPr>
        <w:t>&gt;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” – вперед (все усвоили, можно изучать новое). Куда же нам двигаться? Выберем направление согласно знакам сравнения, решив следующие задачи. Учащиеся решают задачи попарно, заполняя таблицу.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1. Из 27 человек 5 А класса ,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2/3 получили за контрольную работу по математике «4», а в 5 Б 1/3 из 30 человек получили «4». В каком классе четверок больше?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2. В трех пятых классах учатся 100 человек, а в двух девятых – 50.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3/4 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всех пятиклассников и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4/5 всех девятиклассников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 посещают кружки. Какие классы посещают больше кружков?</w:t>
      </w:r>
    </w:p>
    <w:tbl>
      <w:tblPr>
        <w:tblW w:w="6085" w:type="dxa"/>
        <w:jc w:val="left"/>
        <w:tblInd w:w="0" w:type="dxa"/>
        <w:tblCellMar>
          <w:top w:w="108" w:type="dxa"/>
          <w:left w:w="108" w:type="dxa"/>
          <w:bottom w:w="108" w:type="dxa"/>
          <w:right w:w="0" w:type="dxa"/>
        </w:tblCellMar>
        <w:tblLook w:val="04a0" w:noVBand="1" w:noHBand="0" w:lastColumn="0" w:firstColumn="1" w:lastRow="0" w:firstRow="1"/>
      </w:tblPr>
      <w:tblGrid>
        <w:gridCol w:w="2528"/>
        <w:gridCol w:w="1135"/>
        <w:gridCol w:w="2422"/>
      </w:tblGrid>
      <w:tr>
        <w:trPr>
          <w:trHeight w:val="384" w:hRule="atLeast"/>
        </w:trPr>
        <w:tc>
          <w:tcPr>
            <w:tcW w:w="252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А. Сравните, что больше 2/3 от 27 или 1/3 от 30?</w:t>
            </w:r>
          </w:p>
        </w:tc>
        <w:tc>
          <w:tcPr>
            <w:tcW w:w="113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Ответы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 &gt; 10</w:t>
            </w:r>
          </w:p>
        </w:tc>
        <w:tc>
          <w:tcPr>
            <w:tcW w:w="2422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tcMar>
              <w:right w:w="10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Итак, наши ответы говорят о том, что нам надо двигаться вперед, к изучению новой темы.</w:t>
            </w:r>
          </w:p>
        </w:tc>
      </w:tr>
      <w:tr>
        <w:trPr>
          <w:trHeight w:val="420" w:hRule="atLeast"/>
        </w:trPr>
        <w:tc>
          <w:tcPr>
            <w:tcW w:w="252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Б. Сравните, что больше 3/4 от 100 или 4/5 от 50?</w:t>
            </w:r>
          </w:p>
        </w:tc>
        <w:tc>
          <w:tcPr>
            <w:tcW w:w="113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</w:tcBorders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75 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&gt;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 40</w:t>
            </w:r>
          </w:p>
        </w:tc>
        <w:tc>
          <w:tcPr>
            <w:tcW w:w="2422" w:type="dxa"/>
            <w:vMerge w:val="continue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tcMar>
              <w:top w:w="15" w:type="dxa"/>
              <w:left w:w="22" w:type="dxa"/>
              <w:bottom w:w="15" w:type="dxa"/>
              <w:right w:w="7" w:type="dxa"/>
            </w:tcMar>
            <w:vAlign w:val="center"/>
          </w:tcPr>
          <w:p>
            <w:pPr>
              <w:pStyle w:val="Normal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Устные упражнения выполняются и в конце урока, как локальное повторение или контроль усвоения.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Также, применяю 7-10 минутную контрольную работу по устному счету – математический диктант. Ученики на отдельных листах нумеруют соответственно 10-15 строк для ответов. Читается первое задание, ученики пишут ответ в первой строке и т. д. Время для выполнения задания ограничено. Если ученик не успел сосчитать, он ставит прочерк против номера нерешенного задания. Среди заданий могут быть и теоретические задания.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Чтобы устные упражнения были интересными, занимательными, вызывали активность и внимательность детей, нужно их по возможности разнообразить.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Например, заполнение квадратов. (Квадрат в девять клеток изображается на доске. Дается ряд чисел 1, 2, 3,…9. Задание: заполнить данными числами все клетки квадрата так, чтобы и в горизонтальных и в вертикальных рядах было 15.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Предлагаемые задачи не должны быть легкими, но и не должны быть громоздкими. Тексты упражнений, чертежей должны быть приготовлены заранее. К устным упражнениям должны привлекаться все ученики.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седьмом классе вычислительная техника школьников совершенствуется при выполнении тождественных преобразований над степенями с натуральным показателем, с одночленами и многочленами, при использовании тождеств сокращенного умножения.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восьмом классе при изучении тем «Рациональные дроби», «Неравенства», «Квадратные корни и квадратные уравнения» широко используются умения учащихся выполнять действия с дробными числами в процессе нахождения числовых значений рациональных выражений, содержащих степени с целыми показателями, решения неравенств, вычисления квадратных корней.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девятом классе в процессе изучения тем «Квадратные уравнения», «Уравнения и неравенства с двумя переменными», «Системы уравнений и неравенств», «Степень с рациональным показателем» девятиклассники должны свободно владеть навыками действий с рациональными числами.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десятом классе вычислительная техника учащихся продолжает совершенствоваться при вычислении значений тригонометрических функций, упрощении тригонометрических выражений, вычислении производных.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одиннадцатом классе в процессе изучения тем «Первообразная и интеграл», «Корень n-ой степени», «Логарифмы и их свойства» учащиеся совершенствуют свои навыки действий с действительными числами.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качестве домашних заданий использую тренажеры.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Например, решите уравнение: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/>
        <w:drawing>
          <wp:inline distT="0" distB="0" distL="0" distR="0">
            <wp:extent cx="830580" cy="262255"/>
            <wp:effectExtent l="0" t="0" r="0" b="0"/>
            <wp:docPr id="1" name="Рисунок 7" descr="t1696176853b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t1696176853bb.gi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/>
        <w:drawing>
          <wp:inline distT="0" distB="0" distL="0" distR="0">
            <wp:extent cx="790575" cy="249555"/>
            <wp:effectExtent l="0" t="0" r="0" b="0"/>
            <wp:docPr id="2" name="Рисунок 6" descr="t1696176853b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 descr="t1696176853bc.gif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4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современных условиях, не смотря на использование информационно-технологических средств, вычислительные навыки по-прежнему остаются актуальными, так как они играют важную роль в школьном курсе обучения.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Чтобы повысить математическую грамотность учащихся, предлагаю учащимся самим составить задачи и уравнения, ребусы, кроссворды, разно уровневые задания.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212529"/>
          <w:sz w:val="28"/>
          <w:szCs w:val="28"/>
          <w:lang w:eastAsia="ru-RU"/>
        </w:rPr>
        <w:t>Лучший тренажер математической грамотности — это решение практико-ориентированных задач.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Решение практико-ориентированных задач в б</w:t>
      </w:r>
      <w:bookmarkStart w:id="2" w:name="_GoBack"/>
      <w:bookmarkEnd w:id="2"/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ольшей степени строится на построении модели реальной ситуации, описанной конкретной задачей.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6 классе.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При изучении темы «Масштаб», предлагаю решить такую задачу, к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ак задание, устанавливающее межпредметные связи в процессе обучения.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На карте показан путь Лены от дома до школы. Лена измерила длину каждого участка и подписала его. Используя рисунок, определите, длину пути (в м), если масштаб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1см : 10000 см.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 качестве домашнего задания: составить план дома (квартиры) в масштабе 1 : 100.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Объявляется конкурс на лучшую планировку посадок на клумбе.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Задача, если она направлена на формирование математической грамотности, должна содержать проблему, представленную в контексте реальной ситуации.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Конечно, все задачи практического содержания невозможно рассмотреть в рамках урока, и в программах нет отдельной темы по решению таких задач. Поэтому такие задачи мы решаем на факультативе.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Практико-ориентированные задачи я беру из открытых источников. (Показать)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Возникает вопрос: какие из существующих сегодня ресурсов можно считать актуальными для формирования математической грамотности?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Проблема заключается в том, что существующие УМК содержат типовые текстовые задачи, решая которые, ученик работает с уже готовыми знакомыми ему математическими моделями. Задачи же на математическую грамотность – это ситуации, где необходимо самостоятельно сформулировать задачу, вычленяя известные и неизвестные, лишние и недостающие данные. Таким образом, необходимо создавать банки заданий для развития и формирования математической грамотности.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При решении многих задач не нужны специальные математические знания, а лишь внимание и здравый смысл.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Понимание и запоминание прочитанного, умение выделить главные слова, перевести данные на язык математики, передать суть задачи в форме краткой записи – это ряд умений, которые формируются из урока в урок с 5 класса.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Очень часто решения текстовых задач являются просто математическим расчётом, сегодня мы постараемся доказать, что математика не только цифры и вычисления, а более широкое углубленное познание истины.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Один из подходов к развитию математической грамотности осуществляется через формирование умения работать с задачей. Текстовые задачи и задания на составления математической модели должны включаться в каждый урок.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«Математика — гимнастика для ума», - эта фраза была сказана не случайно. Именно на уроке математики ребёнок учится анализировать, сравнивать, обобщать, классифицировать, рассуждать, догадываться, опровергать, что и способствует формированию математической грамотности.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529"/>
          <w:sz w:val="28"/>
          <w:szCs w:val="28"/>
          <w:lang w:eastAsia="ru-RU"/>
        </w:rPr>
        <w:t>Математическая грамотность проявляется в конкретной ситуации. Если участник ситуации не смог выполнить хотя бы один этап математического моделирования, то он в данной ситуации не проявил математическую грамотность.​​​​​​​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2312d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312de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2312de"/>
    <w:rPr>
      <w:color w:val="0000FF"/>
      <w:u w:val="single"/>
    </w:rPr>
  </w:style>
  <w:style w:type="character" w:styleId="Descrsecondary" w:customStyle="1">
    <w:name w:val="descr-secondary"/>
    <w:basedOn w:val="DefaultParagraphFont"/>
    <w:qFormat/>
    <w:rsid w:val="002312de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semiHidden/>
    <w:unhideWhenUsed/>
    <w:qFormat/>
    <w:rsid w:val="002312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LibreOffice/6.4.6.2$Linux_X86_64 LibreOffice_project/40$Build-2</Application>
  <Pages>8</Pages>
  <Words>1395</Words>
  <Characters>9491</Characters>
  <CharactersWithSpaces>10824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2024-11-19T13:32:00Z</dcterms:created>
  <dc:creator>User</dc:creator>
  <dc:description/>
  <dc:language>ru-RU</dc:language>
  <cp:lastModifiedBy/>
  <dcterms:modified xsi:type="dcterms:W3CDTF">2024-11-20T11:34:08Z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